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rPr>
          <w:b/>
          <w:bCs/>
        </w:rPr>
      </w:pPr>
      <w:r>
        <w:rPr>
          <w:b/>
          <w:bCs/>
        </w:rPr>
        <w:t>Lamina vibrante ad elettrocalamita</w:t>
      </w:r>
    </w:p>
    <w:p>
      <w:pPr>
        <w:rPr>
          <w:b/>
          <w:bCs/>
        </w:rPr>
      </w:pPr>
    </w:p>
    <w:p>
      <w:r>
        <w:rPr>
          <w:b/>
          <w:bCs/>
        </w:rPr>
        <w:t xml:space="preserve">Nome originale: </w:t>
      </w:r>
      <w:proofErr w:type="spellStart"/>
      <w:r>
        <w:t>signal</w:t>
      </w:r>
      <w:proofErr w:type="spellEnd"/>
      <w:r>
        <w:t xml:space="preserve"> </w:t>
      </w:r>
      <w:proofErr w:type="spellStart"/>
      <w:r>
        <w:t>électro-magnétique</w:t>
      </w:r>
      <w:proofErr w:type="spellEnd"/>
    </w:p>
    <w:p>
      <w:r>
        <w:rPr>
          <w:b/>
          <w:bCs/>
        </w:rPr>
        <w:t xml:space="preserve">Dimensioni: </w:t>
      </w:r>
      <w:r>
        <w:t>22 x 5 x 8</w:t>
      </w:r>
    </w:p>
    <w:p>
      <w:pPr>
        <w:rPr>
          <w:b/>
          <w:bCs/>
        </w:rPr>
      </w:pPr>
      <w:r>
        <w:rPr>
          <w:b/>
          <w:bCs/>
        </w:rPr>
        <w:t>Peso:</w:t>
      </w:r>
      <w:r>
        <w:t xml:space="preserve"> 0,162</w:t>
      </w:r>
    </w:p>
    <w:p>
      <w:r>
        <w:rPr>
          <w:b/>
          <w:bCs/>
        </w:rPr>
        <w:t xml:space="preserve">Materiale: </w:t>
      </w:r>
      <w:r>
        <w:t>acciaio, ottone, alluminio, fili di rame, ebano</w:t>
      </w:r>
    </w:p>
    <w:p>
      <w:r>
        <w:rPr>
          <w:b/>
          <w:bCs/>
        </w:rPr>
        <w:t xml:space="preserve">Annessi: </w:t>
      </w:r>
      <w:r>
        <w:t>chimografo</w:t>
      </w:r>
    </w:p>
    <w:p>
      <w:r>
        <w:rPr>
          <w:b/>
          <w:bCs/>
        </w:rPr>
        <w:t xml:space="preserve">Inventore: </w:t>
      </w:r>
      <w:r>
        <w:t xml:space="preserve">Marcel </w:t>
      </w:r>
      <w:proofErr w:type="spellStart"/>
      <w:r>
        <w:t>Deprez</w:t>
      </w:r>
      <w:proofErr w:type="spellEnd"/>
    </w:p>
    <w:p>
      <w:pPr>
        <w:jc w:val="both"/>
      </w:pPr>
      <w:r>
        <w:rPr>
          <w:b/>
          <w:bCs/>
        </w:rPr>
        <w:t xml:space="preserve">Notizie sull’inventore: </w:t>
      </w:r>
      <w:r>
        <w:t xml:space="preserve">(1843-1918). Entrato nell’arma per la difesa di Parigi, dal 1870 divenne addetto all’artiglieria ed in questo contesto cominciò a studiare le leggi dell’attrito costruendo strumenti per la misurazione delle pressioni nell’anima dei cannoni durante il passaggio dei proiettili. Nel 1890 divenne docente di elettrotecnica industriale presso il </w:t>
      </w:r>
      <w:proofErr w:type="spellStart"/>
      <w:r>
        <w:t>Conservatoire</w:t>
      </w:r>
      <w:proofErr w:type="spellEnd"/>
      <w:r>
        <w:t xml:space="preserve"> National </w:t>
      </w:r>
      <w:proofErr w:type="spellStart"/>
      <w:r>
        <w:t>des</w:t>
      </w:r>
      <w:proofErr w:type="spellEnd"/>
      <w:r>
        <w:t xml:space="preserve"> </w:t>
      </w:r>
      <w:proofErr w:type="spellStart"/>
      <w:r>
        <w:t>Arts</w:t>
      </w:r>
      <w:proofErr w:type="spellEnd"/>
      <w:r>
        <w:t xml:space="preserve"> </w:t>
      </w:r>
      <w:proofErr w:type="spellStart"/>
      <w:r>
        <w:t>et</w:t>
      </w:r>
      <w:proofErr w:type="spellEnd"/>
      <w:r>
        <w:t xml:space="preserve"> </w:t>
      </w:r>
      <w:proofErr w:type="spellStart"/>
      <w:r>
        <w:t>Métiers</w:t>
      </w:r>
      <w:proofErr w:type="spellEnd"/>
      <w:r>
        <w:t xml:space="preserve"> di Parigi, dove continuò le ricerche nel campo dell’elettromagnetismo.</w:t>
      </w:r>
    </w:p>
    <w:p>
      <w:r>
        <w:rPr>
          <w:b/>
          <w:bCs/>
        </w:rPr>
        <w:t>Luogo e data dell’invenzione:</w:t>
      </w:r>
      <w:r>
        <w:t xml:space="preserve"> </w:t>
      </w:r>
      <w:proofErr w:type="spellStart"/>
      <w:r>
        <w:t>Paris</w:t>
      </w:r>
      <w:proofErr w:type="spellEnd"/>
      <w:r>
        <w:t>, anni Ottanta dell’Ottocento</w:t>
      </w:r>
    </w:p>
    <w:p>
      <w:r>
        <w:rPr>
          <w:b/>
          <w:bCs/>
        </w:rPr>
        <w:t xml:space="preserve">I Costruttore: </w:t>
      </w:r>
      <w:r>
        <w:t xml:space="preserve">Charles </w:t>
      </w:r>
      <w:proofErr w:type="spellStart"/>
      <w:r>
        <w:t>Verdin</w:t>
      </w:r>
      <w:proofErr w:type="spellEnd"/>
    </w:p>
    <w:p>
      <w:r>
        <w:rPr>
          <w:b/>
          <w:bCs/>
        </w:rPr>
        <w:t>Ditta costruttrice:</w:t>
      </w:r>
      <w:r>
        <w:t xml:space="preserve"> </w:t>
      </w:r>
      <w:proofErr w:type="spellStart"/>
      <w:r>
        <w:t>Éts</w:t>
      </w:r>
      <w:proofErr w:type="spellEnd"/>
      <w:r>
        <w:t xml:space="preserve">. </w:t>
      </w:r>
      <w:proofErr w:type="spellStart"/>
      <w:r>
        <w:t>Verdin</w:t>
      </w:r>
      <w:proofErr w:type="spellEnd"/>
    </w:p>
    <w:p>
      <w:r>
        <w:rPr>
          <w:b/>
          <w:bCs/>
        </w:rPr>
        <w:t>Luogo e data della costruzione:</w:t>
      </w:r>
      <w:r>
        <w:t xml:space="preserve"> </w:t>
      </w:r>
      <w:proofErr w:type="spellStart"/>
      <w:r>
        <w:t>Paris</w:t>
      </w:r>
      <w:proofErr w:type="spellEnd"/>
      <w:r>
        <w:t xml:space="preserve"> (F), 7 rue </w:t>
      </w:r>
      <w:proofErr w:type="spellStart"/>
      <w:r>
        <w:t>Linne</w:t>
      </w:r>
      <w:proofErr w:type="spellEnd"/>
      <w:r>
        <w:t>, anni Novanta dell’Ottocento</w:t>
      </w:r>
    </w:p>
    <w:p>
      <w:r>
        <w:rPr>
          <w:b/>
          <w:bCs/>
        </w:rPr>
        <w:t xml:space="preserve">II Costruttore: </w:t>
      </w:r>
      <w:r>
        <w:t xml:space="preserve">Eduard </w:t>
      </w:r>
      <w:proofErr w:type="spellStart"/>
      <w:r>
        <w:t>Zimmermann</w:t>
      </w:r>
      <w:proofErr w:type="spellEnd"/>
    </w:p>
    <w:p>
      <w:pPr>
        <w:jc w:val="both"/>
        <w:rPr>
          <w:lang w:val="de-DE"/>
        </w:rPr>
      </w:pPr>
      <w:proofErr w:type="spellStart"/>
      <w:r>
        <w:rPr>
          <w:b/>
          <w:bCs/>
          <w:lang w:val="de-DE"/>
        </w:rPr>
        <w:t>Ditta</w:t>
      </w:r>
      <w:proofErr w:type="spellEnd"/>
      <w:r>
        <w:rPr>
          <w:b/>
          <w:bCs/>
          <w:lang w:val="de-DE"/>
        </w:rPr>
        <w:t xml:space="preserve"> </w:t>
      </w:r>
      <w:proofErr w:type="spellStart"/>
      <w:r>
        <w:rPr>
          <w:b/>
          <w:bCs/>
          <w:lang w:val="de-DE"/>
        </w:rPr>
        <w:t>distributrice</w:t>
      </w:r>
      <w:proofErr w:type="spellEnd"/>
      <w:r>
        <w:rPr>
          <w:b/>
          <w:bCs/>
          <w:lang w:val="de-DE"/>
        </w:rPr>
        <w:t xml:space="preserve">: </w:t>
      </w:r>
      <w:r>
        <w:rPr>
          <w:lang w:val="de-DE"/>
        </w:rPr>
        <w:t xml:space="preserve">Zimmermann Fabrik für psychologische und physiologische Apparate </w:t>
      </w:r>
    </w:p>
    <w:p>
      <w:pPr>
        <w:jc w:val="both"/>
      </w:pPr>
      <w:r>
        <w:rPr>
          <w:b/>
          <w:bCs/>
        </w:rPr>
        <w:t xml:space="preserve">Luogo e data della distribuzione: </w:t>
      </w:r>
      <w:proofErr w:type="spellStart"/>
      <w:r>
        <w:t>Leipzig</w:t>
      </w:r>
      <w:proofErr w:type="spellEnd"/>
      <w:r>
        <w:t xml:space="preserve"> (D), </w:t>
      </w:r>
      <w:proofErr w:type="spellStart"/>
      <w:r>
        <w:t>Emilienstrasse</w:t>
      </w:r>
      <w:proofErr w:type="spellEnd"/>
      <w:r>
        <w:t xml:space="preserve"> 21, anni Dieci del Novecento</w:t>
      </w:r>
    </w:p>
    <w:p>
      <w:pPr>
        <w:jc w:val="both"/>
      </w:pPr>
      <w:r>
        <w:rPr>
          <w:b/>
          <w:bCs/>
        </w:rPr>
        <w:t>Notizie sulla ditta distributrice</w:t>
      </w:r>
      <w:r>
        <w:t xml:space="preserve">: nel 1887, dopo il fallimento della </w:t>
      </w:r>
      <w:proofErr w:type="spellStart"/>
      <w:r>
        <w:t>Baltzar-Schmidt</w:t>
      </w:r>
      <w:proofErr w:type="spellEnd"/>
      <w:r>
        <w:t xml:space="preserve">, Eduard </w:t>
      </w:r>
      <w:proofErr w:type="spellStart"/>
      <w:r>
        <w:t>Zimmermann</w:t>
      </w:r>
      <w:proofErr w:type="spellEnd"/>
      <w:r>
        <w:t xml:space="preserve">, già meccanico presso il laboratorio di W. </w:t>
      </w:r>
      <w:proofErr w:type="spellStart"/>
      <w:r>
        <w:t>Wundt</w:t>
      </w:r>
      <w:proofErr w:type="spellEnd"/>
      <w:r>
        <w:t>, aprì nel 1887 la propria ditta.</w:t>
      </w:r>
    </w:p>
    <w:p>
      <w:r>
        <w:rPr>
          <w:b/>
          <w:bCs/>
        </w:rPr>
        <w:t xml:space="preserve">Iscrizioni, targhe, timbri: </w:t>
      </w:r>
      <w:r>
        <w:t>iscrizione del distributore: “E. ZIMMERMANN LEIPZIG”</w:t>
      </w:r>
    </w:p>
    <w:p>
      <w:pPr>
        <w:jc w:val="both"/>
      </w:pPr>
      <w:r>
        <w:rPr>
          <w:b/>
          <w:bCs/>
        </w:rPr>
        <w:t>Descrizione:</w:t>
      </w:r>
      <w:r>
        <w:t xml:space="preserve"> lo strumento è formato da una lamina vibrante a taratura variabile per intervalli di tempo dell’ordine di </w:t>
      </w:r>
      <w:r>
        <w:rPr>
          <w:vertAlign w:val="superscript"/>
        </w:rPr>
        <w:t>1</w:t>
      </w:r>
      <w:r>
        <w:t>/</w:t>
      </w:r>
      <w:r>
        <w:rPr>
          <w:vertAlign w:val="subscript"/>
        </w:rPr>
        <w:t>20</w:t>
      </w:r>
      <w:r>
        <w:t xml:space="preserve">, </w:t>
      </w:r>
      <w:r>
        <w:rPr>
          <w:vertAlign w:val="superscript"/>
        </w:rPr>
        <w:t>1</w:t>
      </w:r>
      <w:r>
        <w:t>/</w:t>
      </w:r>
      <w:r>
        <w:rPr>
          <w:vertAlign w:val="subscript"/>
        </w:rPr>
        <w:t>25</w:t>
      </w:r>
      <w:r>
        <w:t xml:space="preserve">, </w:t>
      </w:r>
      <w:r>
        <w:rPr>
          <w:vertAlign w:val="superscript"/>
        </w:rPr>
        <w:t>1</w:t>
      </w:r>
      <w:r>
        <w:t>/</w:t>
      </w:r>
      <w:r>
        <w:rPr>
          <w:vertAlign w:val="subscript"/>
        </w:rPr>
        <w:t>50</w:t>
      </w:r>
      <w:r>
        <w:t xml:space="preserve"> e </w:t>
      </w:r>
      <w:r>
        <w:rPr>
          <w:vertAlign w:val="superscript"/>
        </w:rPr>
        <w:t>1</w:t>
      </w:r>
      <w:r>
        <w:t>/</w:t>
      </w:r>
      <w:r>
        <w:rPr>
          <w:vertAlign w:val="subscript"/>
        </w:rPr>
        <w:t>100</w:t>
      </w:r>
      <w:r>
        <w:t xml:space="preserve"> sec. La punta scrivente, con cui termina la lamina di alluminio e che registra il tempo su di un </w:t>
      </w:r>
      <w:r>
        <w:rPr>
          <w:color w:val="3366FF"/>
        </w:rPr>
        <w:t>chimografo</w:t>
      </w:r>
      <w:r>
        <w:t xml:space="preserve">, viene azionata da un’elettrocalamita posta sulla parte posteriore della lamina. </w:t>
      </w:r>
    </w:p>
    <w:p>
      <w:pPr>
        <w:jc w:val="both"/>
        <w:rPr>
          <w:b/>
          <w:bCs/>
        </w:rPr>
      </w:pPr>
      <w:r>
        <w:rPr>
          <w:b/>
          <w:bCs/>
        </w:rPr>
        <w:t xml:space="preserve">Scopo: </w:t>
      </w:r>
      <w:r>
        <w:t>cronografia</w:t>
      </w:r>
    </w:p>
    <w:p>
      <w:pPr>
        <w:rPr>
          <w:b/>
          <w:bCs/>
        </w:rPr>
      </w:pPr>
      <w:r>
        <w:rPr>
          <w:b/>
          <w:bCs/>
        </w:rPr>
        <w:t xml:space="preserve">Riferimenti bibliografici: </w:t>
      </w:r>
    </w:p>
    <w:p>
      <w:pPr>
        <w:jc w:val="both"/>
      </w:pPr>
      <w:r>
        <w:t xml:space="preserve">- Fonti secondarie: </w:t>
      </w:r>
      <w:proofErr w:type="spellStart"/>
      <w:r>
        <w:t>C</w:t>
      </w:r>
      <w:r>
        <w:rPr>
          <w:smallCaps/>
        </w:rPr>
        <w:t>h</w:t>
      </w:r>
      <w:proofErr w:type="spellEnd"/>
      <w:r>
        <w:rPr>
          <w:smallCaps/>
        </w:rPr>
        <w:t xml:space="preserve">. </w:t>
      </w:r>
      <w:proofErr w:type="spellStart"/>
      <w:r>
        <w:rPr>
          <w:smallCaps/>
          <w:lang w:val="fr-FR"/>
        </w:rPr>
        <w:t>Verdin</w:t>
      </w:r>
      <w:proofErr w:type="spellEnd"/>
      <w:r>
        <w:rPr>
          <w:lang w:val="fr-FR"/>
        </w:rPr>
        <w:t xml:space="preserve">, </w:t>
      </w:r>
      <w:r>
        <w:rPr>
          <w:i/>
          <w:iCs/>
          <w:lang w:val="fr-FR"/>
        </w:rPr>
        <w:t>Catalogue des instruments de précision servant en physiologie et en médecine</w:t>
      </w:r>
      <w:r>
        <w:rPr>
          <w:lang w:val="fr-FR"/>
        </w:rPr>
        <w:t>, Paris 1882, p. 8; E.</w:t>
      </w:r>
      <w:r>
        <w:rPr>
          <w:smallCaps/>
          <w:lang w:val="fr-FR"/>
        </w:rPr>
        <w:t xml:space="preserve"> Zimmermann</w:t>
      </w:r>
      <w:r>
        <w:rPr>
          <w:lang w:val="fr-FR"/>
        </w:rPr>
        <w:t xml:space="preserve">, </w:t>
      </w:r>
      <w:r>
        <w:rPr>
          <w:i/>
          <w:iCs/>
          <w:lang w:val="fr-FR"/>
        </w:rPr>
        <w:t xml:space="preserve">XVIII. </w:t>
      </w:r>
      <w:proofErr w:type="spellStart"/>
      <w:r>
        <w:rPr>
          <w:i/>
          <w:iCs/>
        </w:rPr>
        <w:t>Preis-Liste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über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psychologische</w:t>
      </w:r>
      <w:proofErr w:type="spellEnd"/>
      <w:r>
        <w:rPr>
          <w:i/>
          <w:iCs/>
        </w:rPr>
        <w:t xml:space="preserve"> und </w:t>
      </w:r>
      <w:proofErr w:type="spellStart"/>
      <w:r>
        <w:rPr>
          <w:i/>
          <w:iCs/>
        </w:rPr>
        <w:t>physiologische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Apparate</w:t>
      </w:r>
      <w:proofErr w:type="spellEnd"/>
      <w:r>
        <w:t xml:space="preserve">, </w:t>
      </w:r>
      <w:proofErr w:type="spellStart"/>
      <w:r>
        <w:t>Leipzig</w:t>
      </w:r>
      <w:proofErr w:type="spellEnd"/>
      <w:r>
        <w:t xml:space="preserve"> 1903, pp. 49-50, No. 182, No. 183; A. D</w:t>
      </w:r>
      <w:r>
        <w:rPr>
          <w:smallCaps/>
        </w:rPr>
        <w:t>e Leo</w:t>
      </w:r>
      <w:r>
        <w:t xml:space="preserve">, </w:t>
      </w:r>
      <w:r>
        <w:rPr>
          <w:i/>
          <w:iCs/>
        </w:rPr>
        <w:t>La psiche in laboratorio</w:t>
      </w:r>
      <w:r>
        <w:t>, in M. S</w:t>
      </w:r>
      <w:r>
        <w:rPr>
          <w:smallCaps/>
        </w:rPr>
        <w:t>inatra</w:t>
      </w:r>
      <w:r>
        <w:t xml:space="preserve"> (a cura di), </w:t>
      </w:r>
      <w:proofErr w:type="spellStart"/>
      <w:r>
        <w:rPr>
          <w:i/>
          <w:iCs/>
        </w:rPr>
        <w:t>La.S.P.A.</w:t>
      </w:r>
      <w:proofErr w:type="spellEnd"/>
      <w:r>
        <w:rPr>
          <w:i/>
          <w:iCs/>
        </w:rPr>
        <w:t xml:space="preserve"> Laboratorio di Storia della Psicologia Applicata “A. Marzi” dell’Università di Bari</w:t>
      </w:r>
      <w:r>
        <w:t>, Pensa Multimedia, Lecce 2006, p. 150 [</w:t>
      </w:r>
      <w:proofErr w:type="spellStart"/>
      <w:r>
        <w:t>pp</w:t>
      </w:r>
      <w:proofErr w:type="spellEnd"/>
      <w:r>
        <w:t>. 135-160].</w:t>
      </w:r>
    </w:p>
    <w:p/>
    <w:p/>
    <w:p>
      <w:r>
        <w:rPr>
          <w:noProof/>
        </w:rPr>
        <w:lastRenderedPageBreak/>
        <w:drawing>
          <wp:inline distT="0" distB="0" distL="0" distR="0">
            <wp:extent cx="6537960" cy="4290060"/>
            <wp:effectExtent l="19050" t="0" r="0" b="0"/>
            <wp:docPr id="2" name="Immagine 2" descr="04 s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4 sit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960" cy="429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savePreviewPicture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Lamina vibrante ad elettrocalamita</vt:lpstr>
    </vt:vector>
  </TitlesOfParts>
  <Company>Hewlett-Packard Company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Lamina vibrante ad elettrocalamita</dc:title>
  <dc:creator>utente</dc:creator>
  <cp:lastModifiedBy>Maria Sinatra</cp:lastModifiedBy>
  <cp:revision>3</cp:revision>
  <dcterms:created xsi:type="dcterms:W3CDTF">2019-01-25T12:19:00Z</dcterms:created>
  <dcterms:modified xsi:type="dcterms:W3CDTF">2019-01-25T12:24:00Z</dcterms:modified>
</cp:coreProperties>
</file>