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2E6" w:rsidRDefault="00BC72E6" w:rsidP="00BC72E6">
      <w:pPr>
        <w:pStyle w:val="Titolo2"/>
        <w:jc w:val="center"/>
        <w:rPr>
          <w:color w:val="auto"/>
        </w:rPr>
      </w:pPr>
      <w:proofErr w:type="spellStart"/>
      <w:r>
        <w:rPr>
          <w:color w:val="auto"/>
        </w:rPr>
        <w:t>Psicoestesiometro</w:t>
      </w:r>
      <w:proofErr w:type="spellEnd"/>
      <w:r>
        <w:rPr>
          <w:color w:val="auto"/>
        </w:rPr>
        <w:t xml:space="preserve"> di Colucci</w:t>
      </w:r>
    </w:p>
    <w:p w:rsidR="00BC72E6" w:rsidRDefault="00BC72E6" w:rsidP="00BC72E6"/>
    <w:p w:rsidR="00BC72E6" w:rsidRDefault="00BC72E6" w:rsidP="00BC72E6">
      <w:pPr>
        <w:pStyle w:val="Titolo3"/>
        <w:spacing w:before="0" w:after="0"/>
        <w:ind w:left="0"/>
        <w:rPr>
          <w:rFonts w:ascii="Times New Roman" w:hAnsi="Times New Roman"/>
          <w:b w:val="0"/>
          <w:bCs w:val="0"/>
          <w:color w:val="auto"/>
          <w:sz w:val="24"/>
          <w:szCs w:val="24"/>
        </w:rPr>
      </w:pPr>
      <w:r>
        <w:rPr>
          <w:rFonts w:ascii="Times New Roman" w:hAnsi="Times New Roman"/>
          <w:bCs w:val="0"/>
          <w:color w:val="auto"/>
          <w:sz w:val="24"/>
          <w:szCs w:val="24"/>
        </w:rPr>
        <w:t>Nome originale</w:t>
      </w:r>
      <w:r>
        <w:rPr>
          <w:rFonts w:ascii="Times New Roman" w:hAnsi="Times New Roman"/>
          <w:b w:val="0"/>
          <w:bCs w:val="0"/>
          <w:color w:val="auto"/>
          <w:sz w:val="24"/>
          <w:szCs w:val="24"/>
        </w:rPr>
        <w:t xml:space="preserve">: </w:t>
      </w:r>
      <w:proofErr w:type="spellStart"/>
      <w:r>
        <w:rPr>
          <w:rFonts w:ascii="Times New Roman" w:hAnsi="Times New Roman"/>
          <w:b w:val="0"/>
          <w:bCs w:val="0"/>
          <w:color w:val="auto"/>
          <w:sz w:val="24"/>
          <w:szCs w:val="24"/>
        </w:rPr>
        <w:t>Haar-Ästhesiometer</w:t>
      </w:r>
      <w:proofErr w:type="spellEnd"/>
    </w:p>
    <w:p w:rsidR="00BC72E6" w:rsidRDefault="00BC72E6" w:rsidP="00BC72E6">
      <w:r>
        <w:rPr>
          <w:b/>
          <w:bCs/>
        </w:rPr>
        <w:t xml:space="preserve">Dimensioni: </w:t>
      </w:r>
      <w:r>
        <w:t>22 x 15,5 x 3,5 (astuccio)</w:t>
      </w:r>
    </w:p>
    <w:p w:rsidR="00BC72E6" w:rsidRDefault="00BC72E6" w:rsidP="00BC72E6">
      <w:pPr>
        <w:rPr>
          <w:b/>
          <w:bCs/>
        </w:rPr>
      </w:pPr>
      <w:r>
        <w:rPr>
          <w:b/>
          <w:bCs/>
        </w:rPr>
        <w:t>Peso:</w:t>
      </w:r>
      <w:r>
        <w:t xml:space="preserve"> 0,600 (astuccio)</w:t>
      </w:r>
    </w:p>
    <w:p w:rsidR="00BC72E6" w:rsidRDefault="00BC72E6" w:rsidP="00BC72E6">
      <w:r>
        <w:rPr>
          <w:b/>
          <w:bCs/>
        </w:rPr>
        <w:t xml:space="preserve">Materiale: </w:t>
      </w:r>
      <w:r>
        <w:t>tela, raso, velluto, ottone (astuccio); legno, ottone (strumenti)</w:t>
      </w:r>
    </w:p>
    <w:p w:rsidR="00BC72E6" w:rsidRDefault="00BC72E6" w:rsidP="00BC72E6">
      <w:pPr>
        <w:rPr>
          <w:b/>
          <w:bCs/>
        </w:rPr>
      </w:pPr>
      <w:r>
        <w:rPr>
          <w:b/>
          <w:bCs/>
        </w:rPr>
        <w:t xml:space="preserve">Inventore: </w:t>
      </w:r>
      <w:r>
        <w:t>Cesare Colucci</w:t>
      </w:r>
    </w:p>
    <w:p w:rsidR="00BC72E6" w:rsidRDefault="00BC72E6" w:rsidP="00BC72E6">
      <w:pPr>
        <w:jc w:val="both"/>
        <w:rPr>
          <w:b/>
          <w:bCs/>
        </w:rPr>
      </w:pPr>
      <w:r>
        <w:rPr>
          <w:b/>
          <w:bCs/>
        </w:rPr>
        <w:t>Notizie sull’inventore:</w:t>
      </w:r>
      <w:r>
        <w:t xml:space="preserve"> (Napoli,  1865 –  1942). Fu, fino al 1903, assistente di L. Bianchi, che nel 1882 aveva fondata a Napoli l’ospedale psichiatrico. Nel 1910 fondò, con S. De Sanctis, la Società Italiana di Psicologia, la cui presidenza egli assunse nel 1935 dopo la morte dello stesso De Sanctis. Nel 1923 divenne direttore dell’ospedale psichiatrico e nello stesso anno presso l’università napoletana ottenne una delle prime tre cattedre italiane di psichiatria. Sebbene tenace assertore del metodo sperimentale in psicologia, non mancò di analizzare il metodo introspettivo utilizzato da S. Freud, A. Adler e C. G. </w:t>
      </w:r>
      <w:proofErr w:type="spellStart"/>
      <w:r>
        <w:t>Jung</w:t>
      </w:r>
      <w:proofErr w:type="spellEnd"/>
      <w:r>
        <w:t>.</w:t>
      </w:r>
    </w:p>
    <w:p w:rsidR="00BC72E6" w:rsidRDefault="00BC72E6" w:rsidP="00BC72E6">
      <w:pPr>
        <w:rPr>
          <w:b/>
          <w:bCs/>
        </w:rPr>
      </w:pPr>
      <w:r>
        <w:rPr>
          <w:b/>
          <w:bCs/>
        </w:rPr>
        <w:t xml:space="preserve">Luogo e data dell’invenzione: </w:t>
      </w:r>
      <w:r>
        <w:t>Napoli, Parigi, anni Venti del Novecento</w:t>
      </w:r>
    </w:p>
    <w:p w:rsidR="00BC72E6" w:rsidRDefault="00BC72E6" w:rsidP="00BC72E6">
      <w:pPr>
        <w:jc w:val="both"/>
      </w:pPr>
      <w:r>
        <w:rPr>
          <w:b/>
          <w:bCs/>
        </w:rPr>
        <w:t xml:space="preserve">Storia dell’invenzione: </w:t>
      </w:r>
      <w:r>
        <w:t>il modello si basa sullo schema tecnico dello strumento ideato da E. H. Weber nel 1834 (</w:t>
      </w:r>
      <w:r>
        <w:rPr>
          <w:i/>
          <w:iCs/>
        </w:rPr>
        <w:t>compasso di Weber</w:t>
      </w:r>
      <w:r>
        <w:t>).</w:t>
      </w:r>
    </w:p>
    <w:p w:rsidR="00BC72E6" w:rsidRDefault="00BC72E6" w:rsidP="00BC72E6">
      <w:r>
        <w:rPr>
          <w:b/>
          <w:bCs/>
        </w:rPr>
        <w:t xml:space="preserve">Luogo e data della distribuzione: </w:t>
      </w:r>
      <w:r>
        <w:t>Napoli (I), anni Quaranta del Novecento</w:t>
      </w:r>
    </w:p>
    <w:p w:rsidR="00BC72E6" w:rsidRDefault="00BC72E6" w:rsidP="00BC72E6">
      <w:pPr>
        <w:jc w:val="both"/>
      </w:pPr>
      <w:r>
        <w:rPr>
          <w:b/>
          <w:bCs/>
        </w:rPr>
        <w:t xml:space="preserve">Descrizione: </w:t>
      </w:r>
      <w:r>
        <w:t xml:space="preserve">in un astuccio sono custoditi 17 elementi, di cui due impugnature, un agone, due scale graduate, dodici stimoli tattili aventi una forma circolare e una superficie con l’incisione di differenti composizioni geometriche. Questi ultimi vanno alternativamente inseriti in un’apposita impugnatura. </w:t>
      </w:r>
    </w:p>
    <w:p w:rsidR="00BC72E6" w:rsidRDefault="00BC72E6" w:rsidP="00BC72E6">
      <w:r>
        <w:rPr>
          <w:b/>
          <w:bCs/>
        </w:rPr>
        <w:t xml:space="preserve">Scopo: </w:t>
      </w:r>
      <w:r>
        <w:t>misura della discriminazione tattile</w:t>
      </w:r>
    </w:p>
    <w:p w:rsidR="00BC72E6" w:rsidRDefault="00BC72E6" w:rsidP="00BC72E6">
      <w:pPr>
        <w:jc w:val="both"/>
      </w:pPr>
      <w:r>
        <w:rPr>
          <w:b/>
          <w:bCs/>
        </w:rPr>
        <w:t xml:space="preserve">Test: </w:t>
      </w:r>
      <w:r>
        <w:t>l’applicazione degli stimoli sulla cute consente la determinazione della soglia assoluta e della soglia relativa. I valori di soglia variano da 2,50 a 70 mm e aumentano con la fatica.</w:t>
      </w:r>
    </w:p>
    <w:p w:rsidR="00BC72E6" w:rsidRDefault="00BC72E6" w:rsidP="00BC72E6">
      <w:pPr>
        <w:jc w:val="both"/>
      </w:pPr>
    </w:p>
    <w:p w:rsidR="00BC72E6" w:rsidRDefault="00BC72E6" w:rsidP="00BC72E6">
      <w:pPr>
        <w:jc w:val="both"/>
      </w:pPr>
    </w:p>
    <w:p w:rsidR="00BC72E6" w:rsidRDefault="00BC72E6" w:rsidP="00BC72E6">
      <w:pPr>
        <w:jc w:val="both"/>
      </w:pPr>
    </w:p>
    <w:p w:rsidR="00310369" w:rsidRDefault="00BC72E6" w:rsidP="00BC72E6">
      <w:pPr>
        <w:jc w:val="center"/>
      </w:pPr>
      <w:r>
        <w:rPr>
          <w:noProof/>
        </w:rPr>
        <w:drawing>
          <wp:inline distT="0" distB="0" distL="0" distR="0" wp14:anchorId="1236273D" wp14:editId="428C0AA7">
            <wp:extent cx="2569412" cy="3856383"/>
            <wp:effectExtent l="0" t="0" r="0" b="0"/>
            <wp:docPr id="8" name="Immagine 8" descr="C:\Users\Maria Sinatra\Desktop\Laspa\Foto strumenti\bassa risoluzione\IMG_3881bas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ia Sinatra\Desktop\Laspa\Foto strumenti\bassa risoluzione\IMG_3881bassa.jpg"/>
                    <pic:cNvPicPr>
                      <a:picLocks noChangeAspect="1" noChangeArrowheads="1"/>
                    </pic:cNvPicPr>
                  </pic:nvPicPr>
                  <pic:blipFill>
                    <a:blip r:embed="rId5" cstate="print"/>
                    <a:srcRect/>
                    <a:stretch>
                      <a:fillRect/>
                    </a:stretch>
                  </pic:blipFill>
                  <pic:spPr bwMode="auto">
                    <a:xfrm>
                      <a:off x="0" y="0"/>
                      <a:ext cx="2567834" cy="3854015"/>
                    </a:xfrm>
                    <a:prstGeom prst="rect">
                      <a:avLst/>
                    </a:prstGeom>
                    <a:noFill/>
                    <a:ln w="9525">
                      <a:noFill/>
                      <a:miter lim="800000"/>
                      <a:headEnd/>
                      <a:tailEnd/>
                    </a:ln>
                  </pic:spPr>
                </pic:pic>
              </a:graphicData>
            </a:graphic>
          </wp:inline>
        </w:drawing>
      </w:r>
      <w:bookmarkStart w:id="0" w:name="_GoBack"/>
      <w:bookmarkEnd w:id="0"/>
    </w:p>
    <w:sectPr w:rsidR="0031036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2E6"/>
    <w:rsid w:val="001434BB"/>
    <w:rsid w:val="0026554C"/>
    <w:rsid w:val="00310369"/>
    <w:rsid w:val="00466D9E"/>
    <w:rsid w:val="00A126A3"/>
    <w:rsid w:val="00BC72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C72E6"/>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uiPriority w:val="9"/>
    <w:semiHidden/>
    <w:unhideWhenUsed/>
    <w:qFormat/>
    <w:rsid w:val="00BC7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semiHidden/>
    <w:unhideWhenUsed/>
    <w:qFormat/>
    <w:rsid w:val="00BC72E6"/>
    <w:pPr>
      <w:spacing w:before="150" w:after="150"/>
      <w:ind w:left="225" w:right="225"/>
      <w:outlineLvl w:val="2"/>
    </w:pPr>
    <w:rPr>
      <w:rFonts w:ascii="Trebuchet MS" w:hAnsi="Trebuchet MS"/>
      <w:b/>
      <w:bCs/>
      <w:color w:val="333333"/>
      <w:sz w:val="29"/>
      <w:szCs w:val="2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semiHidden/>
    <w:rsid w:val="00BC72E6"/>
    <w:rPr>
      <w:rFonts w:asciiTheme="majorHAnsi" w:eastAsiaTheme="majorEastAsia" w:hAnsiTheme="majorHAnsi" w:cstheme="majorBidi"/>
      <w:b/>
      <w:bCs/>
      <w:color w:val="4F81BD" w:themeColor="accent1"/>
      <w:sz w:val="26"/>
      <w:szCs w:val="26"/>
      <w:lang w:eastAsia="it-IT"/>
    </w:rPr>
  </w:style>
  <w:style w:type="character" w:customStyle="1" w:styleId="Titolo3Carattere">
    <w:name w:val="Titolo 3 Carattere"/>
    <w:basedOn w:val="Carpredefinitoparagrafo"/>
    <w:link w:val="Titolo3"/>
    <w:semiHidden/>
    <w:rsid w:val="00BC72E6"/>
    <w:rPr>
      <w:rFonts w:ascii="Trebuchet MS" w:eastAsia="Times New Roman" w:hAnsi="Trebuchet MS" w:cs="Times New Roman"/>
      <w:b/>
      <w:bCs/>
      <w:color w:val="333333"/>
      <w:sz w:val="29"/>
      <w:szCs w:val="29"/>
      <w:lang w:eastAsia="it-IT"/>
    </w:rPr>
  </w:style>
  <w:style w:type="paragraph" w:styleId="Testofumetto">
    <w:name w:val="Balloon Text"/>
    <w:basedOn w:val="Normale"/>
    <w:link w:val="TestofumettoCarattere"/>
    <w:uiPriority w:val="99"/>
    <w:semiHidden/>
    <w:unhideWhenUsed/>
    <w:rsid w:val="00BC72E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C72E6"/>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C72E6"/>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uiPriority w:val="9"/>
    <w:semiHidden/>
    <w:unhideWhenUsed/>
    <w:qFormat/>
    <w:rsid w:val="00BC7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semiHidden/>
    <w:unhideWhenUsed/>
    <w:qFormat/>
    <w:rsid w:val="00BC72E6"/>
    <w:pPr>
      <w:spacing w:before="150" w:after="150"/>
      <w:ind w:left="225" w:right="225"/>
      <w:outlineLvl w:val="2"/>
    </w:pPr>
    <w:rPr>
      <w:rFonts w:ascii="Trebuchet MS" w:hAnsi="Trebuchet MS"/>
      <w:b/>
      <w:bCs/>
      <w:color w:val="333333"/>
      <w:sz w:val="29"/>
      <w:szCs w:val="2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semiHidden/>
    <w:rsid w:val="00BC72E6"/>
    <w:rPr>
      <w:rFonts w:asciiTheme="majorHAnsi" w:eastAsiaTheme="majorEastAsia" w:hAnsiTheme="majorHAnsi" w:cstheme="majorBidi"/>
      <w:b/>
      <w:bCs/>
      <w:color w:val="4F81BD" w:themeColor="accent1"/>
      <w:sz w:val="26"/>
      <w:szCs w:val="26"/>
      <w:lang w:eastAsia="it-IT"/>
    </w:rPr>
  </w:style>
  <w:style w:type="character" w:customStyle="1" w:styleId="Titolo3Carattere">
    <w:name w:val="Titolo 3 Carattere"/>
    <w:basedOn w:val="Carpredefinitoparagrafo"/>
    <w:link w:val="Titolo3"/>
    <w:semiHidden/>
    <w:rsid w:val="00BC72E6"/>
    <w:rPr>
      <w:rFonts w:ascii="Trebuchet MS" w:eastAsia="Times New Roman" w:hAnsi="Trebuchet MS" w:cs="Times New Roman"/>
      <w:b/>
      <w:bCs/>
      <w:color w:val="333333"/>
      <w:sz w:val="29"/>
      <w:szCs w:val="29"/>
      <w:lang w:eastAsia="it-IT"/>
    </w:rPr>
  </w:style>
  <w:style w:type="paragraph" w:styleId="Testofumetto">
    <w:name w:val="Balloon Text"/>
    <w:basedOn w:val="Normale"/>
    <w:link w:val="TestofumettoCarattere"/>
    <w:uiPriority w:val="99"/>
    <w:semiHidden/>
    <w:unhideWhenUsed/>
    <w:rsid w:val="00BC72E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C72E6"/>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1432</Characters>
  <Application>Microsoft Office Word</Application>
  <DocSecurity>0</DocSecurity>
  <Lines>11</Lines>
  <Paragraphs>3</Paragraphs>
  <ScaleCrop>false</ScaleCrop>
  <Company/>
  <LinksUpToDate>false</LinksUpToDate>
  <CharactersWithSpaces>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Processi Formativi</dc:creator>
  <cp:lastModifiedBy>Processi Formativi</cp:lastModifiedBy>
  <cp:revision>1</cp:revision>
  <dcterms:created xsi:type="dcterms:W3CDTF">2019-01-26T21:53:00Z</dcterms:created>
  <dcterms:modified xsi:type="dcterms:W3CDTF">2019-01-26T21:53:00Z</dcterms:modified>
</cp:coreProperties>
</file>